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91414" w14:textId="12275B2B" w:rsidR="00EB7AFA" w:rsidRPr="00786364" w:rsidRDefault="001F4252" w:rsidP="00984C1D">
      <w:pPr>
        <w:pStyle w:val="Heading1"/>
        <w:jc w:val="center"/>
        <w:rPr>
          <w:rFonts w:asciiTheme="minorEastAsia" w:eastAsiaTheme="minorEastAsia" w:hAnsiTheme="minorEastAsia"/>
          <w:sz w:val="48"/>
          <w:szCs w:val="48"/>
        </w:rPr>
      </w:pPr>
      <w:bookmarkStart w:id="0" w:name="_GoBack"/>
      <w:r w:rsidRPr="001F4252">
        <w:rPr>
          <w:rFonts w:asciiTheme="minorEastAsia" w:eastAsia="DengXian" w:hAnsiTheme="minorEastAsia" w:hint="eastAsia"/>
          <w:sz w:val="48"/>
          <w:szCs w:val="48"/>
          <w:lang w:eastAsia="zh-CN"/>
        </w:rPr>
        <w:t>内部制衡措施</w:t>
      </w:r>
      <w:bookmarkEnd w:id="0"/>
    </w:p>
    <w:p w14:paraId="4563EDFA" w14:textId="52D1217C" w:rsidR="00805B43" w:rsidRPr="002F3066" w:rsidRDefault="001F4252" w:rsidP="00805B43">
      <w:pPr>
        <w:rPr>
          <w:rFonts w:asciiTheme="minorEastAsia" w:hAnsiTheme="minorEastAsia"/>
          <w:b/>
          <w:sz w:val="28"/>
          <w:szCs w:val="28"/>
          <w:u w:val="single"/>
        </w:rPr>
      </w:pPr>
      <w:r w:rsidRPr="001F4252">
        <w:rPr>
          <w:rFonts w:asciiTheme="minorEastAsia" w:eastAsia="DengXian" w:hAnsiTheme="minorEastAsia" w:hint="eastAsia"/>
          <w:b/>
          <w:sz w:val="28"/>
          <w:szCs w:val="28"/>
          <w:u w:val="single"/>
          <w:lang w:eastAsia="zh-CN"/>
        </w:rPr>
        <w:t>会计职务的分配</w:t>
      </w:r>
    </w:p>
    <w:p w14:paraId="25AD57D4" w14:textId="45B9B992" w:rsidR="004F5E39" w:rsidRPr="002F3066" w:rsidRDefault="001F4252" w:rsidP="004F5E39">
      <w:pPr>
        <w:pStyle w:val="ListParagraph"/>
        <w:numPr>
          <w:ilvl w:val="0"/>
          <w:numId w:val="2"/>
        </w:numPr>
        <w:ind w:leftChars="0"/>
        <w:rPr>
          <w:rFonts w:asciiTheme="minorEastAsia" w:hAnsiTheme="minorEastAsia"/>
          <w:sz w:val="26"/>
          <w:szCs w:val="26"/>
        </w:rPr>
      </w:pPr>
      <w:r w:rsidRPr="001F4252">
        <w:rPr>
          <w:rFonts w:asciiTheme="minorEastAsia" w:eastAsia="DengXian" w:hAnsiTheme="minorEastAsia" w:hint="eastAsia"/>
          <w:sz w:val="26"/>
          <w:szCs w:val="26"/>
          <w:lang w:eastAsia="zh-CN"/>
        </w:rPr>
        <w:t>学校应尽可能将计算、查核和记录学校应收或应付款项的职务，和收取或发放这些款项的职务分由不同的员工执行，以减低出现人为故意操控或错误的可能性。</w:t>
      </w:r>
    </w:p>
    <w:p w14:paraId="060F28DA" w14:textId="23531159" w:rsidR="00EB7AFA" w:rsidRPr="002F3066" w:rsidRDefault="001F4252" w:rsidP="004F5E39">
      <w:pPr>
        <w:pStyle w:val="ListParagraph"/>
        <w:numPr>
          <w:ilvl w:val="0"/>
          <w:numId w:val="5"/>
        </w:numPr>
        <w:ind w:leftChars="0"/>
        <w:rPr>
          <w:rFonts w:asciiTheme="minorEastAsia" w:hAnsiTheme="minorEastAsia"/>
          <w:sz w:val="26"/>
          <w:szCs w:val="26"/>
        </w:rPr>
      </w:pPr>
      <w:r w:rsidRPr="001F4252">
        <w:rPr>
          <w:rFonts w:asciiTheme="minorEastAsia" w:eastAsia="DengXian" w:hAnsiTheme="minorEastAsia" w:cs="新細明體" w:hint="eastAsia"/>
          <w:sz w:val="26"/>
          <w:szCs w:val="26"/>
          <w:lang w:eastAsia="zh-CN"/>
        </w:rPr>
        <w:t>处理以下职务的负责人员是谁？</w:t>
      </w:r>
    </w:p>
    <w:tbl>
      <w:tblPr>
        <w:tblStyle w:val="TableGrid"/>
        <w:tblW w:w="8127" w:type="dxa"/>
        <w:tblLook w:val="04A0" w:firstRow="1" w:lastRow="0" w:firstColumn="1" w:lastColumn="0" w:noHBand="0" w:noVBand="1"/>
      </w:tblPr>
      <w:tblGrid>
        <w:gridCol w:w="4111"/>
        <w:gridCol w:w="4016"/>
      </w:tblGrid>
      <w:tr w:rsidR="003539A6" w:rsidRPr="002F3066" w14:paraId="034AAECF" w14:textId="77777777" w:rsidTr="003539A6">
        <w:trPr>
          <w:trHeight w:val="1058"/>
        </w:trPr>
        <w:tc>
          <w:tcPr>
            <w:tcW w:w="4111" w:type="dxa"/>
            <w:tcBorders>
              <w:top w:val="nil"/>
              <w:left w:val="nil"/>
            </w:tcBorders>
            <w:vAlign w:val="center"/>
          </w:tcPr>
          <w:p w14:paraId="0E9ED597" w14:textId="77777777" w:rsidR="003539A6" w:rsidRPr="002F3066" w:rsidRDefault="003539A6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016" w:type="dxa"/>
            <w:vAlign w:val="center"/>
          </w:tcPr>
          <w:p w14:paraId="608256D9" w14:textId="0FB0F564" w:rsidR="003539A6" w:rsidRPr="002F3066" w:rsidRDefault="001F4252" w:rsidP="003B203B">
            <w:pPr>
              <w:jc w:val="center"/>
              <w:rPr>
                <w:rFonts w:asciiTheme="minorEastAsia" w:hAnsiTheme="minorEastAsia"/>
                <w:sz w:val="26"/>
                <w:szCs w:val="26"/>
                <w:lang w:eastAsia="zh-HK"/>
              </w:rPr>
            </w:pPr>
            <w:r w:rsidRPr="001F4252">
              <w:rPr>
                <w:rFonts w:asciiTheme="minorEastAsia" w:eastAsia="DengXian" w:hAnsiTheme="minorEastAsia" w:hint="eastAsia"/>
                <w:sz w:val="26"/>
                <w:szCs w:val="26"/>
                <w:lang w:eastAsia="zh-CN"/>
              </w:rPr>
              <w:t>负责人员职位</w:t>
            </w:r>
          </w:p>
        </w:tc>
      </w:tr>
      <w:tr w:rsidR="003539A6" w:rsidRPr="002F3066" w14:paraId="28457ACA" w14:textId="77777777" w:rsidTr="003539A6">
        <w:trPr>
          <w:trHeight w:val="1058"/>
        </w:trPr>
        <w:tc>
          <w:tcPr>
            <w:tcW w:w="4111" w:type="dxa"/>
            <w:vAlign w:val="center"/>
          </w:tcPr>
          <w:p w14:paraId="6320E4DC" w14:textId="34F69983" w:rsidR="003539A6" w:rsidRPr="002F3066" w:rsidRDefault="001F4252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1F4252">
              <w:rPr>
                <w:rFonts w:asciiTheme="minorEastAsia" w:eastAsia="DengXian" w:hAnsiTheme="minorEastAsia" w:hint="eastAsia"/>
                <w:sz w:val="26"/>
                <w:szCs w:val="26"/>
                <w:lang w:eastAsia="zh-CN"/>
              </w:rPr>
              <w:t>计算应收或应付的款项</w:t>
            </w:r>
          </w:p>
        </w:tc>
        <w:tc>
          <w:tcPr>
            <w:tcW w:w="4016" w:type="dxa"/>
            <w:vAlign w:val="center"/>
          </w:tcPr>
          <w:p w14:paraId="00F09309" w14:textId="77777777" w:rsidR="003539A6" w:rsidRPr="002F3066" w:rsidRDefault="003539A6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539A6" w:rsidRPr="002F3066" w14:paraId="4041397F" w14:textId="77777777" w:rsidTr="003539A6">
        <w:trPr>
          <w:trHeight w:val="1058"/>
        </w:trPr>
        <w:tc>
          <w:tcPr>
            <w:tcW w:w="4111" w:type="dxa"/>
            <w:vAlign w:val="center"/>
          </w:tcPr>
          <w:p w14:paraId="0C846BE8" w14:textId="2CB8421A" w:rsidR="003539A6" w:rsidRPr="002F3066" w:rsidRDefault="001F4252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1F4252">
              <w:rPr>
                <w:rFonts w:asciiTheme="minorEastAsia" w:eastAsia="DengXian" w:hAnsiTheme="minorEastAsia" w:hint="eastAsia"/>
                <w:sz w:val="26"/>
                <w:szCs w:val="26"/>
                <w:lang w:eastAsia="zh-CN"/>
              </w:rPr>
              <w:t>查</w:t>
            </w:r>
            <w:r w:rsidRPr="001F4252">
              <w:rPr>
                <w:rFonts w:asciiTheme="minorEastAsia" w:eastAsia="DengXian" w:hAnsiTheme="minorEastAsia" w:cs="新細明體" w:hint="eastAsia"/>
                <w:sz w:val="26"/>
                <w:szCs w:val="26"/>
                <w:lang w:eastAsia="zh-CN"/>
              </w:rPr>
              <w:t>核应收或应付的款项</w:t>
            </w:r>
          </w:p>
        </w:tc>
        <w:tc>
          <w:tcPr>
            <w:tcW w:w="4016" w:type="dxa"/>
            <w:vAlign w:val="center"/>
          </w:tcPr>
          <w:p w14:paraId="74216589" w14:textId="77777777" w:rsidR="003539A6" w:rsidRPr="002F3066" w:rsidRDefault="003539A6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539A6" w:rsidRPr="002F3066" w14:paraId="7C1E84F8" w14:textId="77777777" w:rsidTr="003539A6">
        <w:trPr>
          <w:trHeight w:val="1058"/>
        </w:trPr>
        <w:tc>
          <w:tcPr>
            <w:tcW w:w="4111" w:type="dxa"/>
            <w:vAlign w:val="center"/>
          </w:tcPr>
          <w:p w14:paraId="21479960" w14:textId="764929C3" w:rsidR="003539A6" w:rsidRPr="002F3066" w:rsidRDefault="001F4252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1F4252">
              <w:rPr>
                <w:rFonts w:asciiTheme="minorEastAsia" w:eastAsia="DengXian" w:hAnsiTheme="minorEastAsia" w:hint="eastAsia"/>
                <w:sz w:val="26"/>
                <w:szCs w:val="26"/>
                <w:lang w:eastAsia="zh-CN"/>
              </w:rPr>
              <w:t>记录应收或应付的款</w:t>
            </w:r>
            <w:r w:rsidRPr="001F4252">
              <w:rPr>
                <w:rFonts w:asciiTheme="minorEastAsia" w:eastAsia="DengXian" w:hAnsiTheme="minorEastAsia" w:cs="新細明體" w:hint="eastAsia"/>
                <w:sz w:val="26"/>
                <w:szCs w:val="26"/>
                <w:lang w:eastAsia="zh-CN"/>
              </w:rPr>
              <w:t>项</w:t>
            </w:r>
          </w:p>
        </w:tc>
        <w:tc>
          <w:tcPr>
            <w:tcW w:w="4016" w:type="dxa"/>
            <w:vAlign w:val="center"/>
          </w:tcPr>
          <w:p w14:paraId="20D3E5AB" w14:textId="77777777" w:rsidR="003539A6" w:rsidRPr="002F3066" w:rsidRDefault="003539A6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539A6" w:rsidRPr="002F3066" w14:paraId="03A2BD59" w14:textId="77777777" w:rsidTr="003539A6">
        <w:trPr>
          <w:trHeight w:val="1058"/>
        </w:trPr>
        <w:tc>
          <w:tcPr>
            <w:tcW w:w="4111" w:type="dxa"/>
            <w:vAlign w:val="center"/>
          </w:tcPr>
          <w:p w14:paraId="39E0129C" w14:textId="6686E149" w:rsidR="003539A6" w:rsidRPr="002F3066" w:rsidRDefault="001F4252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1F4252">
              <w:rPr>
                <w:rFonts w:asciiTheme="minorEastAsia" w:eastAsia="DengXian" w:hAnsiTheme="minorEastAsia" w:hint="eastAsia"/>
                <w:sz w:val="26"/>
                <w:szCs w:val="26"/>
                <w:lang w:eastAsia="zh-CN"/>
              </w:rPr>
              <w:t>收取或发放应收或应付的款</w:t>
            </w:r>
            <w:r w:rsidRPr="001F4252">
              <w:rPr>
                <w:rFonts w:asciiTheme="minorEastAsia" w:eastAsia="DengXian" w:hAnsiTheme="minorEastAsia" w:cs="新細明體" w:hint="eastAsia"/>
                <w:sz w:val="26"/>
                <w:szCs w:val="26"/>
                <w:lang w:eastAsia="zh-CN"/>
              </w:rPr>
              <w:t>项</w:t>
            </w:r>
          </w:p>
        </w:tc>
        <w:tc>
          <w:tcPr>
            <w:tcW w:w="4016" w:type="dxa"/>
            <w:vAlign w:val="center"/>
          </w:tcPr>
          <w:p w14:paraId="20F8CB7A" w14:textId="77777777" w:rsidR="003539A6" w:rsidRPr="002F3066" w:rsidRDefault="003539A6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1546B163" w14:textId="77777777" w:rsidR="00D345AB" w:rsidRPr="002F3066" w:rsidRDefault="00D345AB" w:rsidP="003B203B">
      <w:pPr>
        <w:rPr>
          <w:rFonts w:asciiTheme="minorEastAsia" w:hAnsiTheme="minorEastAsia" w:cs="新細明體"/>
          <w:sz w:val="26"/>
          <w:szCs w:val="26"/>
          <w:lang w:eastAsia="zh-HK"/>
        </w:rPr>
      </w:pPr>
    </w:p>
    <w:p w14:paraId="540FE354" w14:textId="6E769DD0" w:rsidR="004F5E39" w:rsidRPr="002F3066" w:rsidRDefault="001F4252" w:rsidP="004F5E39">
      <w:pPr>
        <w:pStyle w:val="ListParagraph"/>
        <w:numPr>
          <w:ilvl w:val="0"/>
          <w:numId w:val="2"/>
        </w:numPr>
        <w:ind w:leftChars="0"/>
        <w:rPr>
          <w:rFonts w:asciiTheme="minorEastAsia" w:hAnsiTheme="minorEastAsia" w:cs="新細明體"/>
          <w:sz w:val="26"/>
          <w:szCs w:val="26"/>
        </w:rPr>
      </w:pPr>
      <w:r w:rsidRPr="001F4252">
        <w:rPr>
          <w:rFonts w:asciiTheme="minorEastAsia" w:eastAsia="DengXian" w:hAnsiTheme="minorEastAsia" w:cs="新細明體" w:hint="eastAsia"/>
          <w:sz w:val="26"/>
          <w:szCs w:val="26"/>
          <w:lang w:eastAsia="zh-CN"/>
        </w:rPr>
        <w:t>有关查核和核对任何银行帐户及所有经费现金结存的工作，必须交由并非参与日常管理这些帐户的员工去执行。</w:t>
      </w:r>
    </w:p>
    <w:p w14:paraId="0090E87C" w14:textId="3CAC0C1A" w:rsidR="004F5E39" w:rsidRPr="002F3066" w:rsidRDefault="001F4252" w:rsidP="004F5E39">
      <w:pPr>
        <w:pStyle w:val="ListParagraph"/>
        <w:numPr>
          <w:ilvl w:val="0"/>
          <w:numId w:val="5"/>
        </w:numPr>
        <w:ind w:leftChars="0"/>
        <w:rPr>
          <w:rFonts w:asciiTheme="minorEastAsia" w:hAnsiTheme="minorEastAsia" w:cs="新細明體"/>
          <w:sz w:val="26"/>
          <w:szCs w:val="26"/>
        </w:rPr>
      </w:pPr>
      <w:r w:rsidRPr="001F4252">
        <w:rPr>
          <w:rFonts w:asciiTheme="minorEastAsia" w:eastAsia="DengXian" w:hAnsiTheme="minorEastAsia" w:cs="新細明體" w:hint="eastAsia"/>
          <w:sz w:val="26"/>
          <w:szCs w:val="26"/>
          <w:lang w:eastAsia="zh-CN"/>
        </w:rPr>
        <w:t>处理以下职务的负责人员是谁？</w:t>
      </w:r>
    </w:p>
    <w:tbl>
      <w:tblPr>
        <w:tblStyle w:val="TableGrid"/>
        <w:tblW w:w="8163" w:type="dxa"/>
        <w:tblLook w:val="04A0" w:firstRow="1" w:lastRow="0" w:firstColumn="1" w:lastColumn="0" w:noHBand="0" w:noVBand="1"/>
      </w:tblPr>
      <w:tblGrid>
        <w:gridCol w:w="4111"/>
        <w:gridCol w:w="4052"/>
      </w:tblGrid>
      <w:tr w:rsidR="003539A6" w:rsidRPr="002F3066" w14:paraId="69BB37BD" w14:textId="77777777" w:rsidTr="00EC4A7F">
        <w:trPr>
          <w:trHeight w:val="1144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337DCA" w14:textId="77777777" w:rsidR="003539A6" w:rsidRPr="002F3066" w:rsidRDefault="003539A6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052" w:type="dxa"/>
            <w:vAlign w:val="center"/>
          </w:tcPr>
          <w:p w14:paraId="333A96E2" w14:textId="04D25B3A" w:rsidR="003539A6" w:rsidRPr="002F3066" w:rsidRDefault="001F4252" w:rsidP="003B203B">
            <w:pPr>
              <w:jc w:val="center"/>
              <w:rPr>
                <w:rFonts w:asciiTheme="minorEastAsia" w:hAnsiTheme="minorEastAsia"/>
                <w:sz w:val="26"/>
                <w:szCs w:val="26"/>
                <w:lang w:eastAsia="zh-HK"/>
              </w:rPr>
            </w:pPr>
            <w:r w:rsidRPr="001F4252">
              <w:rPr>
                <w:rFonts w:asciiTheme="minorEastAsia" w:eastAsia="DengXian" w:hAnsiTheme="minorEastAsia" w:hint="eastAsia"/>
                <w:sz w:val="26"/>
                <w:szCs w:val="26"/>
                <w:lang w:eastAsia="zh-CN"/>
              </w:rPr>
              <w:t>负责人员职位</w:t>
            </w:r>
          </w:p>
        </w:tc>
      </w:tr>
      <w:tr w:rsidR="003539A6" w:rsidRPr="002F3066" w14:paraId="3293804F" w14:textId="77777777" w:rsidTr="00EC4A7F">
        <w:trPr>
          <w:trHeight w:val="114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62D1E" w14:textId="46446963" w:rsidR="003539A6" w:rsidRPr="002F3066" w:rsidRDefault="001F4252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1F4252">
              <w:rPr>
                <w:rFonts w:asciiTheme="minorEastAsia" w:eastAsia="DengXian" w:hAnsiTheme="minorEastAsia" w:hint="eastAsia"/>
                <w:sz w:val="26"/>
                <w:szCs w:val="26"/>
                <w:lang w:eastAsia="zh-CN"/>
              </w:rPr>
              <w:t>日常管理银行帐户及所有经费的现金结存</w:t>
            </w:r>
          </w:p>
        </w:tc>
        <w:tc>
          <w:tcPr>
            <w:tcW w:w="4052" w:type="dxa"/>
            <w:vAlign w:val="center"/>
          </w:tcPr>
          <w:p w14:paraId="39C4162D" w14:textId="77777777" w:rsidR="003539A6" w:rsidRPr="002F3066" w:rsidRDefault="003539A6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539A6" w:rsidRPr="002F3066" w14:paraId="1AC99424" w14:textId="77777777" w:rsidTr="00EC4A7F">
        <w:trPr>
          <w:trHeight w:val="1144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5FAE26DF" w14:textId="2F671747" w:rsidR="003539A6" w:rsidRPr="002F3066" w:rsidRDefault="001F4252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1F4252">
              <w:rPr>
                <w:rFonts w:asciiTheme="minorEastAsia" w:eastAsia="DengXian" w:hAnsiTheme="minorEastAsia" w:hint="eastAsia"/>
                <w:sz w:val="26"/>
                <w:szCs w:val="26"/>
                <w:lang w:eastAsia="zh-CN"/>
              </w:rPr>
              <w:t>查核和核对银行帐户及所有经费的现金结存</w:t>
            </w:r>
          </w:p>
        </w:tc>
        <w:tc>
          <w:tcPr>
            <w:tcW w:w="4052" w:type="dxa"/>
            <w:vAlign w:val="center"/>
          </w:tcPr>
          <w:p w14:paraId="66E92F54" w14:textId="77777777" w:rsidR="003539A6" w:rsidRPr="002F3066" w:rsidRDefault="003539A6" w:rsidP="003B203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4244EEC3" w14:textId="77777777" w:rsidR="00D345AB" w:rsidRPr="002F3066" w:rsidRDefault="00D345AB" w:rsidP="00D345AB">
      <w:pPr>
        <w:rPr>
          <w:rFonts w:asciiTheme="minorEastAsia" w:hAnsiTheme="minorEastAsia" w:cs="新細明體"/>
          <w:sz w:val="26"/>
          <w:szCs w:val="26"/>
          <w:lang w:eastAsia="zh-HK"/>
        </w:rPr>
      </w:pPr>
    </w:p>
    <w:p w14:paraId="698885D4" w14:textId="68C37794" w:rsidR="004F5E39" w:rsidRPr="002F3066" w:rsidRDefault="001F4252" w:rsidP="004F5E39">
      <w:pPr>
        <w:pStyle w:val="ListParagraph"/>
        <w:numPr>
          <w:ilvl w:val="0"/>
          <w:numId w:val="2"/>
        </w:numPr>
        <w:ind w:leftChars="0"/>
        <w:rPr>
          <w:rFonts w:asciiTheme="minorEastAsia" w:hAnsiTheme="minorEastAsia" w:cs="新細明體"/>
          <w:sz w:val="26"/>
          <w:szCs w:val="26"/>
          <w:lang w:eastAsia="zh-HK"/>
        </w:rPr>
      </w:pPr>
      <w:r w:rsidRPr="001F4252">
        <w:rPr>
          <w:rFonts w:asciiTheme="minorEastAsia" w:eastAsia="DengXian" w:hAnsiTheme="minorEastAsia" w:cs="新細明體" w:hint="eastAsia"/>
          <w:sz w:val="26"/>
          <w:szCs w:val="26"/>
          <w:lang w:eastAsia="zh-CN"/>
        </w:rPr>
        <w:lastRenderedPageBreak/>
        <w:t>校监或校长应亲自处理来自银行的邮件，例如银行发出的结单应由校监或校长开启、核对及简签后，方可交予负责拟备银行对帐表的职员办理。</w:t>
      </w:r>
    </w:p>
    <w:p w14:paraId="358311CC" w14:textId="209AF217" w:rsidR="003B203B" w:rsidRPr="002F3066" w:rsidRDefault="001F4252" w:rsidP="004F5E39">
      <w:pPr>
        <w:pStyle w:val="ListParagraph"/>
        <w:numPr>
          <w:ilvl w:val="0"/>
          <w:numId w:val="5"/>
        </w:numPr>
        <w:ind w:leftChars="0"/>
        <w:rPr>
          <w:rFonts w:asciiTheme="minorEastAsia" w:hAnsiTheme="minorEastAsia" w:cs="新細明體"/>
          <w:sz w:val="26"/>
          <w:szCs w:val="26"/>
          <w:lang w:eastAsia="zh-HK"/>
        </w:rPr>
      </w:pPr>
      <w:r w:rsidRPr="001F4252">
        <w:rPr>
          <w:rFonts w:asciiTheme="minorEastAsia" w:eastAsia="DengXian" w:hAnsiTheme="minorEastAsia" w:cs="新細明體" w:hint="eastAsia"/>
          <w:sz w:val="26"/>
          <w:szCs w:val="26"/>
          <w:lang w:eastAsia="zh-CN"/>
        </w:rPr>
        <w:t>处理以下职务的负责人员是谁？</w:t>
      </w:r>
    </w:p>
    <w:tbl>
      <w:tblPr>
        <w:tblStyle w:val="TableGrid"/>
        <w:tblW w:w="8087" w:type="dxa"/>
        <w:tblLook w:val="04A0" w:firstRow="1" w:lastRow="0" w:firstColumn="1" w:lastColumn="0" w:noHBand="0" w:noVBand="1"/>
      </w:tblPr>
      <w:tblGrid>
        <w:gridCol w:w="4111"/>
        <w:gridCol w:w="3976"/>
      </w:tblGrid>
      <w:tr w:rsidR="00B9487B" w:rsidRPr="002F3066" w14:paraId="2A386609" w14:textId="77777777" w:rsidTr="00B9487B">
        <w:trPr>
          <w:trHeight w:val="1071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4E9BA6" w14:textId="77777777" w:rsidR="00B9487B" w:rsidRPr="002F3066" w:rsidRDefault="00B9487B" w:rsidP="006977F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976" w:type="dxa"/>
            <w:vAlign w:val="center"/>
          </w:tcPr>
          <w:p w14:paraId="78A9EEBB" w14:textId="6704748F" w:rsidR="00B9487B" w:rsidRPr="002F3066" w:rsidRDefault="001F4252" w:rsidP="006977F9">
            <w:pPr>
              <w:jc w:val="center"/>
              <w:rPr>
                <w:rFonts w:asciiTheme="minorEastAsia" w:hAnsiTheme="minorEastAsia"/>
                <w:sz w:val="26"/>
                <w:szCs w:val="26"/>
                <w:lang w:eastAsia="zh-HK"/>
              </w:rPr>
            </w:pPr>
            <w:r w:rsidRPr="001F4252">
              <w:rPr>
                <w:rFonts w:asciiTheme="minorEastAsia" w:eastAsia="DengXian" w:hAnsiTheme="minorEastAsia" w:hint="eastAsia"/>
                <w:sz w:val="26"/>
                <w:szCs w:val="26"/>
                <w:lang w:eastAsia="zh-CN"/>
              </w:rPr>
              <w:t>负责人员职位</w:t>
            </w:r>
          </w:p>
        </w:tc>
      </w:tr>
      <w:tr w:rsidR="00B9487B" w:rsidRPr="002F3066" w14:paraId="0CEB8E6C" w14:textId="77777777" w:rsidTr="00B9487B">
        <w:trPr>
          <w:trHeight w:val="107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F228A" w14:textId="489ECFC6" w:rsidR="00B9487B" w:rsidRPr="002F3066" w:rsidRDefault="001F4252" w:rsidP="006977F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1F4252">
              <w:rPr>
                <w:rFonts w:asciiTheme="minorEastAsia" w:eastAsia="DengXian" w:hAnsiTheme="minorEastAsia" w:hint="eastAsia"/>
                <w:sz w:val="26"/>
                <w:szCs w:val="26"/>
                <w:lang w:eastAsia="zh-CN"/>
              </w:rPr>
              <w:t>开启、核对及简签来自银行的邮件，例如银行发出的结单</w:t>
            </w:r>
          </w:p>
        </w:tc>
        <w:tc>
          <w:tcPr>
            <w:tcW w:w="3976" w:type="dxa"/>
            <w:vAlign w:val="center"/>
          </w:tcPr>
          <w:p w14:paraId="722B9477" w14:textId="77777777" w:rsidR="00B9487B" w:rsidRPr="002F3066" w:rsidRDefault="00B9487B" w:rsidP="006977F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43C37C02" w14:textId="17C62AB2" w:rsidR="00805B43" w:rsidRDefault="00805B43" w:rsidP="003B203B">
      <w:pPr>
        <w:rPr>
          <w:rFonts w:ascii="微軟正黑體" w:eastAsia="微軟正黑體" w:hAnsi="微軟正黑體" w:cs="新細明體"/>
        </w:rPr>
      </w:pPr>
    </w:p>
    <w:p w14:paraId="221D49B0" w14:textId="66097364" w:rsidR="004D1BCF" w:rsidRPr="00310365" w:rsidRDefault="001F4252" w:rsidP="00DF2842">
      <w:pPr>
        <w:pStyle w:val="ListParagraph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 w:rsidRPr="001F4252">
        <w:rPr>
          <w:rFonts w:asciiTheme="minorEastAsia" w:eastAsia="DengXian" w:hAnsiTheme="minorEastAsia" w:cs="新細明體" w:hint="eastAsia"/>
          <w:sz w:val="26"/>
          <w:szCs w:val="26"/>
          <w:lang w:eastAsia="zh-CN"/>
        </w:rPr>
        <w:t>校长应复核学校文员每月制备的现金簿及银行对帐表，并对任何不寻常项目和超过一个月未清账的支票进行调查。校长在查核现金簿及银行往来对帐表后，应予简签并注明查核日期。</w:t>
      </w:r>
    </w:p>
    <w:p w14:paraId="52A72F06" w14:textId="1E1DE2BD" w:rsidR="00310365" w:rsidRPr="00310365" w:rsidRDefault="001F4252" w:rsidP="00310365">
      <w:pPr>
        <w:pStyle w:val="ListParagraph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  <w:lang w:eastAsia="zh-HK"/>
        </w:rPr>
      </w:pPr>
      <w:r w:rsidRPr="001F4252">
        <w:rPr>
          <w:rFonts w:asciiTheme="minorEastAsia" w:eastAsia="DengXian" w:hAnsiTheme="minorEastAsia" w:cs="新細明體" w:hint="eastAsia"/>
          <w:sz w:val="26"/>
          <w:szCs w:val="26"/>
          <w:lang w:eastAsia="zh-CN"/>
        </w:rPr>
        <w:t>处理以下职务的负责人员是谁？</w:t>
      </w:r>
    </w:p>
    <w:tbl>
      <w:tblPr>
        <w:tblStyle w:val="TableGrid"/>
        <w:tblW w:w="8100" w:type="dxa"/>
        <w:tblLook w:val="04A0" w:firstRow="1" w:lastRow="0" w:firstColumn="1" w:lastColumn="0" w:noHBand="0" w:noVBand="1"/>
      </w:tblPr>
      <w:tblGrid>
        <w:gridCol w:w="4140"/>
        <w:gridCol w:w="3960"/>
      </w:tblGrid>
      <w:tr w:rsidR="004D1BCF" w:rsidRPr="00DF2842" w14:paraId="167C4CF9" w14:textId="77777777" w:rsidTr="00C40071">
        <w:trPr>
          <w:trHeight w:val="900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8A09B1C" w14:textId="77777777" w:rsidR="004D1BCF" w:rsidRPr="00DF2842" w:rsidRDefault="004D1BCF" w:rsidP="00B379A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  <w:vAlign w:val="center"/>
          </w:tcPr>
          <w:p w14:paraId="476F5E2A" w14:textId="66F944AC" w:rsidR="004D1BCF" w:rsidRPr="00DF2842" w:rsidRDefault="001F4252" w:rsidP="00B379A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1F4252">
              <w:rPr>
                <w:rFonts w:asciiTheme="minorEastAsia" w:eastAsia="DengXian" w:hAnsiTheme="minorEastAsia" w:hint="eastAsia"/>
                <w:sz w:val="26"/>
                <w:szCs w:val="26"/>
                <w:lang w:eastAsia="zh-CN"/>
              </w:rPr>
              <w:t>负责人员职位</w:t>
            </w:r>
          </w:p>
        </w:tc>
      </w:tr>
      <w:tr w:rsidR="004D1BCF" w:rsidRPr="00DF2842" w14:paraId="45551028" w14:textId="77777777" w:rsidTr="00C40071">
        <w:trPr>
          <w:trHeight w:val="1107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1AC85" w14:textId="6B31BFC8" w:rsidR="004D1BCF" w:rsidRPr="00DF2842" w:rsidRDefault="001F4252" w:rsidP="00B379A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4252">
              <w:rPr>
                <w:rFonts w:asciiTheme="minorEastAsia" w:eastAsia="DengXian" w:hAnsiTheme="minorEastAsia" w:cs="新細明體" w:hint="eastAsia"/>
                <w:sz w:val="26"/>
                <w:szCs w:val="26"/>
                <w:lang w:eastAsia="zh-CN"/>
              </w:rPr>
              <w:t>制备现金簿及银行对帐表</w:t>
            </w:r>
          </w:p>
        </w:tc>
        <w:tc>
          <w:tcPr>
            <w:tcW w:w="3960" w:type="dxa"/>
            <w:vAlign w:val="center"/>
          </w:tcPr>
          <w:p w14:paraId="0A644FC6" w14:textId="77777777" w:rsidR="004D1BCF" w:rsidRPr="00DF2842" w:rsidRDefault="004D1BCF" w:rsidP="00B379A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D1BCF" w:rsidRPr="00DF2842" w14:paraId="4FFE719F" w14:textId="77777777" w:rsidTr="00C40071">
        <w:trPr>
          <w:trHeight w:val="1107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9B555" w14:textId="0F9BD83D" w:rsidR="004D1BCF" w:rsidRPr="00DF2842" w:rsidRDefault="001F4252" w:rsidP="00FB696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F4252">
              <w:rPr>
                <w:rFonts w:asciiTheme="minorEastAsia" w:eastAsia="DengXian" w:hAnsiTheme="minorEastAsia" w:cs="新細明體" w:hint="eastAsia"/>
                <w:sz w:val="26"/>
                <w:szCs w:val="26"/>
                <w:lang w:eastAsia="zh-CN"/>
              </w:rPr>
              <w:t>复核</w:t>
            </w:r>
            <w:r w:rsidRPr="001F4252">
              <w:rPr>
                <w:rFonts w:asciiTheme="minorEastAsia" w:eastAsia="DengXian" w:hAnsiTheme="minorEastAsia" w:hint="eastAsia"/>
                <w:sz w:val="26"/>
                <w:szCs w:val="26"/>
                <w:lang w:eastAsia="zh-CN"/>
              </w:rPr>
              <w:t>、简签</w:t>
            </w:r>
            <w:r w:rsidRPr="001F4252">
              <w:rPr>
                <w:rFonts w:asciiTheme="minorEastAsia" w:eastAsia="DengXian" w:hAnsiTheme="minorEastAsia" w:cs="新細明體" w:hint="eastAsia"/>
                <w:sz w:val="26"/>
                <w:szCs w:val="26"/>
                <w:lang w:eastAsia="zh-CN"/>
              </w:rPr>
              <w:t>并</w:t>
            </w:r>
            <w:r w:rsidRPr="001F4252">
              <w:rPr>
                <w:rFonts w:asciiTheme="minorEastAsia" w:eastAsia="DengXian" w:hAnsiTheme="minorEastAsia" w:hint="eastAsia"/>
                <w:sz w:val="26"/>
                <w:szCs w:val="26"/>
                <w:lang w:eastAsia="zh-CN"/>
              </w:rPr>
              <w:t>注明现金簿及银行对帐表的</w:t>
            </w:r>
            <w:r w:rsidRPr="001F4252">
              <w:rPr>
                <w:rFonts w:asciiTheme="minorEastAsia" w:eastAsia="DengXian" w:hAnsiTheme="minorEastAsia" w:cs="新細明體" w:hint="eastAsia"/>
                <w:sz w:val="26"/>
                <w:szCs w:val="26"/>
                <w:lang w:eastAsia="zh-CN"/>
              </w:rPr>
              <w:t>查核</w:t>
            </w:r>
            <w:r w:rsidRPr="001F4252">
              <w:rPr>
                <w:rFonts w:asciiTheme="minorEastAsia" w:eastAsia="DengXian" w:hAnsiTheme="minorEastAsia" w:hint="eastAsia"/>
                <w:sz w:val="26"/>
                <w:szCs w:val="26"/>
                <w:lang w:eastAsia="zh-CN"/>
              </w:rPr>
              <w:t>日期</w:t>
            </w:r>
          </w:p>
        </w:tc>
        <w:tc>
          <w:tcPr>
            <w:tcW w:w="3960" w:type="dxa"/>
            <w:vAlign w:val="center"/>
          </w:tcPr>
          <w:p w14:paraId="6B8E5FCF" w14:textId="77777777" w:rsidR="004D1BCF" w:rsidRPr="00DF2842" w:rsidRDefault="004D1BCF" w:rsidP="00B379A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639FD1DA" w14:textId="77777777" w:rsidR="004D1BCF" w:rsidRDefault="004D1BCF"/>
    <w:p w14:paraId="2860B420" w14:textId="77777777" w:rsidR="004D1BCF" w:rsidRPr="003B203B" w:rsidRDefault="004D1BCF" w:rsidP="003B203B">
      <w:pPr>
        <w:rPr>
          <w:rFonts w:ascii="微軟正黑體" w:eastAsia="微軟正黑體" w:hAnsi="微軟正黑體" w:cs="新細明體"/>
        </w:rPr>
      </w:pPr>
    </w:p>
    <w:sectPr w:rsidR="004D1BCF" w:rsidRPr="003B203B" w:rsidSect="00490BA1">
      <w:pgSz w:w="11906" w:h="16838"/>
      <w:pgMar w:top="96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C8513" w14:textId="77777777" w:rsidR="000935FD" w:rsidRDefault="000935FD" w:rsidP="000B6A55">
      <w:r>
        <w:separator/>
      </w:r>
    </w:p>
  </w:endnote>
  <w:endnote w:type="continuationSeparator" w:id="0">
    <w:p w14:paraId="1DE5DEF1" w14:textId="77777777" w:rsidR="000935FD" w:rsidRDefault="000935FD" w:rsidP="000B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74F60" w14:textId="77777777" w:rsidR="000935FD" w:rsidRDefault="000935FD" w:rsidP="000B6A55">
      <w:r>
        <w:separator/>
      </w:r>
    </w:p>
  </w:footnote>
  <w:footnote w:type="continuationSeparator" w:id="0">
    <w:p w14:paraId="4B0690B1" w14:textId="77777777" w:rsidR="000935FD" w:rsidRDefault="000935FD" w:rsidP="000B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0CA"/>
    <w:multiLevelType w:val="hybridMultilevel"/>
    <w:tmpl w:val="4AE23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24FA"/>
    <w:multiLevelType w:val="hybridMultilevel"/>
    <w:tmpl w:val="1ECA8416"/>
    <w:lvl w:ilvl="0" w:tplc="AE8E158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811BF"/>
    <w:multiLevelType w:val="hybridMultilevel"/>
    <w:tmpl w:val="E1ECA4A6"/>
    <w:lvl w:ilvl="0" w:tplc="242ADA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090977"/>
    <w:multiLevelType w:val="hybridMultilevel"/>
    <w:tmpl w:val="EC4E2B5A"/>
    <w:lvl w:ilvl="0" w:tplc="355A212C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5C05FAD"/>
    <w:multiLevelType w:val="hybridMultilevel"/>
    <w:tmpl w:val="AD3EA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FA"/>
    <w:rsid w:val="000935FD"/>
    <w:rsid w:val="000949CD"/>
    <w:rsid w:val="000B6A55"/>
    <w:rsid w:val="00162A65"/>
    <w:rsid w:val="001B27A3"/>
    <w:rsid w:val="001B62B6"/>
    <w:rsid w:val="001C114F"/>
    <w:rsid w:val="001D1496"/>
    <w:rsid w:val="001F4252"/>
    <w:rsid w:val="002422CB"/>
    <w:rsid w:val="00282A9E"/>
    <w:rsid w:val="00285AC7"/>
    <w:rsid w:val="002F3066"/>
    <w:rsid w:val="00310365"/>
    <w:rsid w:val="0034001A"/>
    <w:rsid w:val="003461F6"/>
    <w:rsid w:val="00351AE0"/>
    <w:rsid w:val="003539A6"/>
    <w:rsid w:val="003B203B"/>
    <w:rsid w:val="003E6F28"/>
    <w:rsid w:val="00466085"/>
    <w:rsid w:val="00467A5E"/>
    <w:rsid w:val="00490BA1"/>
    <w:rsid w:val="004A55E3"/>
    <w:rsid w:val="004D1BCF"/>
    <w:rsid w:val="004F5E39"/>
    <w:rsid w:val="005671BB"/>
    <w:rsid w:val="0063625F"/>
    <w:rsid w:val="00643027"/>
    <w:rsid w:val="006A1764"/>
    <w:rsid w:val="006D4497"/>
    <w:rsid w:val="006D7D61"/>
    <w:rsid w:val="00770675"/>
    <w:rsid w:val="00786364"/>
    <w:rsid w:val="007864E2"/>
    <w:rsid w:val="00805B43"/>
    <w:rsid w:val="0080788C"/>
    <w:rsid w:val="00890729"/>
    <w:rsid w:val="00936031"/>
    <w:rsid w:val="00984C1D"/>
    <w:rsid w:val="009F419C"/>
    <w:rsid w:val="00A031C4"/>
    <w:rsid w:val="00A1527F"/>
    <w:rsid w:val="00B64E48"/>
    <w:rsid w:val="00B80608"/>
    <w:rsid w:val="00B9487B"/>
    <w:rsid w:val="00BF3B04"/>
    <w:rsid w:val="00C213AA"/>
    <w:rsid w:val="00C40071"/>
    <w:rsid w:val="00D05C44"/>
    <w:rsid w:val="00D345AB"/>
    <w:rsid w:val="00DF2842"/>
    <w:rsid w:val="00E11374"/>
    <w:rsid w:val="00E13091"/>
    <w:rsid w:val="00EB4BAA"/>
    <w:rsid w:val="00EB7AFA"/>
    <w:rsid w:val="00EC3784"/>
    <w:rsid w:val="00EC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A9C0E"/>
  <w15:chartTrackingRefBased/>
  <w15:docId w15:val="{BC58B2D5-920A-41B1-9840-39DA62AA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4C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7AFA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0B6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B6A5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6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B6A5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137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4C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80788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7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8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8D3D6-2C6D-4A58-8513-78F66CFE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</dc:creator>
  <cp:keywords/>
  <dc:description/>
  <cp:lastModifiedBy>SBM</cp:lastModifiedBy>
  <cp:revision>2</cp:revision>
  <cp:lastPrinted>2023-10-10T06:47:00Z</cp:lastPrinted>
  <dcterms:created xsi:type="dcterms:W3CDTF">2024-02-27T07:42:00Z</dcterms:created>
  <dcterms:modified xsi:type="dcterms:W3CDTF">2024-02-27T07:42:00Z</dcterms:modified>
</cp:coreProperties>
</file>